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bookmarkStart w:name="36 ●研究経費の明細（若手）" w:id="1"/>
      <w:bookmarkEnd w:id="1"/>
      <w:r>
        <w:rPr/>
      </w: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201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若手研究８－（</w:t>
        <w:tab/>
        <w:t>）</w:t>
      </w:r>
    </w:p>
    <w:p>
      <w:pPr>
        <w:spacing w:before="41"/>
        <w:ind w:left="44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5939"/>
            <w:col w:w="244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191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若手研究９－（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bookmarkStart w:name="37 ●研究費の応募・受入等の状況（若手）" w:id="2"/>
      <w:bookmarkEnd w:id="2"/>
      <w:r>
        <w:rPr/>
      </w: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35944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2259" w:val="left" w:leader="none"/>
        </w:tabs>
        <w:spacing w:line="240" w:lineRule="auto"/>
        <w:ind w:right="0"/>
        <w:jc w:val="left"/>
      </w:pPr>
      <w:r>
        <w:rPr/>
        <w:t>若手研究１０－（</w:t>
        <w:tab/>
        <w:t>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4979"/>
            <w:col w:w="262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968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225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若手研究１０－（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5459"/>
            <w:col w:w="262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920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896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2019-09-30T11:37:39Z</dcterms:created>
  <dcterms:modified xsi:type="dcterms:W3CDTF">2019-09-30T11:37:39Z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2019-09-30T00:00:00Z</vt:filetime>
  </property>
</Properties>
</file>